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70B3" w14:textId="77777777" w:rsidR="00AF1BCF" w:rsidRDefault="00AF1BCF" w:rsidP="001A06ED">
      <w:pPr>
        <w:overflowPunct w:val="0"/>
        <w:spacing w:line="257" w:lineRule="exact"/>
        <w:ind w:left="7"/>
        <w:rPr>
          <w:b/>
          <w:bCs/>
          <w:color w:val="232D26"/>
          <w:sz w:val="32"/>
          <w:szCs w:val="32"/>
        </w:rPr>
      </w:pPr>
      <w:r>
        <w:rPr>
          <w:b/>
          <w:bCs/>
          <w:color w:val="232D26"/>
          <w:sz w:val="32"/>
          <w:szCs w:val="32"/>
        </w:rPr>
        <w:t xml:space="preserve"> </w:t>
      </w:r>
    </w:p>
    <w:p w14:paraId="16D2F115" w14:textId="77777777" w:rsidR="00AF1BCF" w:rsidRDefault="00AF1BCF" w:rsidP="001A06ED">
      <w:pPr>
        <w:overflowPunct w:val="0"/>
        <w:spacing w:line="257" w:lineRule="exact"/>
        <w:ind w:left="7"/>
        <w:rPr>
          <w:b/>
          <w:bCs/>
          <w:color w:val="232D26"/>
          <w:sz w:val="32"/>
          <w:szCs w:val="32"/>
        </w:rPr>
      </w:pPr>
    </w:p>
    <w:p w14:paraId="42EDB074" w14:textId="77777777" w:rsidR="00AF1BCF" w:rsidRDefault="00AF1BCF" w:rsidP="001A06ED">
      <w:pPr>
        <w:overflowPunct w:val="0"/>
        <w:spacing w:line="257" w:lineRule="exact"/>
        <w:ind w:left="7"/>
        <w:rPr>
          <w:b/>
          <w:bCs/>
          <w:color w:val="232D26"/>
          <w:sz w:val="32"/>
          <w:szCs w:val="32"/>
        </w:rPr>
      </w:pPr>
    </w:p>
    <w:p w14:paraId="13095C29" w14:textId="78F9BB57" w:rsidR="001A06ED" w:rsidRDefault="001A06ED" w:rsidP="001A06ED">
      <w:pPr>
        <w:overflowPunct w:val="0"/>
        <w:spacing w:line="244" w:lineRule="auto"/>
        <w:ind w:left="8" w:right="1877" w:hanging="1"/>
        <w:rPr>
          <w:color w:val="232D26"/>
          <w:spacing w:val="-10"/>
          <w:sz w:val="32"/>
          <w:szCs w:val="32"/>
        </w:rPr>
      </w:pPr>
      <w:r w:rsidRPr="001A06ED">
        <w:rPr>
          <w:b/>
          <w:bCs/>
          <w:color w:val="232D26"/>
          <w:sz w:val="32"/>
          <w:szCs w:val="32"/>
        </w:rPr>
        <w:t>Effective July</w:t>
      </w:r>
      <w:r w:rsidRPr="001A06ED">
        <w:rPr>
          <w:b/>
          <w:bCs/>
          <w:color w:val="232D26"/>
          <w:spacing w:val="-5"/>
          <w:sz w:val="32"/>
          <w:szCs w:val="32"/>
        </w:rPr>
        <w:t xml:space="preserve"> </w:t>
      </w:r>
      <w:r w:rsidRPr="001A06ED">
        <w:rPr>
          <w:b/>
          <w:bCs/>
          <w:color w:val="232D26"/>
          <w:sz w:val="32"/>
          <w:szCs w:val="32"/>
        </w:rPr>
        <w:t>1,</w:t>
      </w:r>
      <w:r w:rsidRPr="001A06ED">
        <w:rPr>
          <w:b/>
          <w:bCs/>
          <w:color w:val="232D26"/>
          <w:spacing w:val="-7"/>
          <w:sz w:val="32"/>
          <w:szCs w:val="32"/>
        </w:rPr>
        <w:t xml:space="preserve"> </w:t>
      </w:r>
      <w:proofErr w:type="gramStart"/>
      <w:r w:rsidRPr="001A06ED">
        <w:rPr>
          <w:b/>
          <w:bCs/>
          <w:color w:val="232D26"/>
          <w:sz w:val="32"/>
          <w:szCs w:val="32"/>
        </w:rPr>
        <w:t>2025</w:t>
      </w:r>
      <w:proofErr w:type="gramEnd"/>
      <w:r w:rsidRPr="001A06ED">
        <w:rPr>
          <w:b/>
          <w:bCs/>
          <w:color w:val="232D26"/>
          <w:spacing w:val="-5"/>
          <w:sz w:val="32"/>
          <w:szCs w:val="32"/>
        </w:rPr>
        <w:t xml:space="preserve"> </w:t>
      </w:r>
      <w:r w:rsidRPr="001A06ED">
        <w:rPr>
          <w:b/>
          <w:bCs/>
          <w:color w:val="232D26"/>
          <w:sz w:val="32"/>
          <w:szCs w:val="32"/>
        </w:rPr>
        <w:t>security deposits will</w:t>
      </w:r>
      <w:r w:rsidRPr="001A06ED">
        <w:rPr>
          <w:b/>
          <w:bCs/>
          <w:color w:val="232D26"/>
          <w:spacing w:val="-5"/>
          <w:sz w:val="32"/>
          <w:szCs w:val="32"/>
        </w:rPr>
        <w:t xml:space="preserve"> </w:t>
      </w:r>
      <w:r w:rsidRPr="001A06ED">
        <w:rPr>
          <w:b/>
          <w:bCs/>
          <w:color w:val="232D26"/>
          <w:sz w:val="32"/>
          <w:szCs w:val="32"/>
        </w:rPr>
        <w:t>be</w:t>
      </w:r>
      <w:r w:rsidRPr="001A06ED">
        <w:rPr>
          <w:b/>
          <w:bCs/>
          <w:color w:val="232D26"/>
          <w:spacing w:val="-10"/>
          <w:sz w:val="32"/>
          <w:szCs w:val="32"/>
        </w:rPr>
        <w:t xml:space="preserve"> </w:t>
      </w:r>
      <w:r w:rsidRPr="001A06ED">
        <w:rPr>
          <w:b/>
          <w:bCs/>
          <w:color w:val="232D26"/>
          <w:sz w:val="32"/>
          <w:szCs w:val="32"/>
        </w:rPr>
        <w:t>as</w:t>
      </w:r>
      <w:r w:rsidRPr="001A06ED">
        <w:rPr>
          <w:b/>
          <w:bCs/>
          <w:color w:val="232D26"/>
          <w:spacing w:val="-8"/>
          <w:sz w:val="32"/>
          <w:szCs w:val="32"/>
        </w:rPr>
        <w:t xml:space="preserve"> </w:t>
      </w:r>
      <w:r w:rsidRPr="001A06ED">
        <w:rPr>
          <w:b/>
          <w:bCs/>
          <w:color w:val="232D26"/>
          <w:sz w:val="32"/>
          <w:szCs w:val="32"/>
        </w:rPr>
        <w:t>follows</w:t>
      </w:r>
      <w:r w:rsidRPr="001A06ED">
        <w:rPr>
          <w:b/>
          <w:bCs/>
          <w:color w:val="232D26"/>
          <w:spacing w:val="-5"/>
          <w:sz w:val="32"/>
          <w:szCs w:val="32"/>
        </w:rPr>
        <w:t xml:space="preserve"> </w:t>
      </w:r>
      <w:r w:rsidR="00306C05">
        <w:rPr>
          <w:b/>
          <w:bCs/>
          <w:color w:val="232D26"/>
          <w:spacing w:val="-5"/>
          <w:sz w:val="32"/>
          <w:szCs w:val="32"/>
        </w:rPr>
        <w:t xml:space="preserve">    </w:t>
      </w:r>
      <w:r w:rsidRPr="001A06ED">
        <w:rPr>
          <w:b/>
          <w:bCs/>
          <w:color w:val="232D26"/>
          <w:sz w:val="32"/>
          <w:szCs w:val="32"/>
        </w:rPr>
        <w:t>for</w:t>
      </w:r>
      <w:r w:rsidRPr="001A06ED">
        <w:rPr>
          <w:b/>
          <w:bCs/>
          <w:color w:val="232D26"/>
          <w:spacing w:val="-7"/>
          <w:sz w:val="32"/>
          <w:szCs w:val="32"/>
        </w:rPr>
        <w:t xml:space="preserve"> </w:t>
      </w:r>
      <w:r w:rsidRPr="001A06ED">
        <w:rPr>
          <w:b/>
          <w:bCs/>
          <w:color w:val="232D26"/>
          <w:sz w:val="32"/>
          <w:szCs w:val="32"/>
        </w:rPr>
        <w:t>incoming residents</w:t>
      </w:r>
      <w:r w:rsidRPr="001A06ED">
        <w:rPr>
          <w:color w:val="232D26"/>
          <w:sz w:val="32"/>
          <w:szCs w:val="32"/>
        </w:rPr>
        <w:t>:</w:t>
      </w:r>
      <w:r w:rsidRPr="001A06ED">
        <w:rPr>
          <w:color w:val="232D26"/>
          <w:spacing w:val="-10"/>
          <w:sz w:val="32"/>
          <w:szCs w:val="32"/>
        </w:rPr>
        <w:t xml:space="preserve"> </w:t>
      </w:r>
    </w:p>
    <w:p w14:paraId="568B58D1" w14:textId="77777777" w:rsidR="001C6C3A" w:rsidRPr="001A06ED" w:rsidRDefault="001C6C3A" w:rsidP="001A06ED">
      <w:pPr>
        <w:overflowPunct w:val="0"/>
        <w:spacing w:line="244" w:lineRule="auto"/>
        <w:ind w:left="8" w:right="1877" w:hanging="1"/>
        <w:rPr>
          <w:color w:val="232D26"/>
          <w:spacing w:val="-10"/>
          <w:sz w:val="32"/>
          <w:szCs w:val="32"/>
        </w:rPr>
      </w:pPr>
    </w:p>
    <w:p w14:paraId="6921597F" w14:textId="77777777" w:rsidR="001A06ED" w:rsidRPr="001A06ED" w:rsidRDefault="001A06ED" w:rsidP="001A06ED">
      <w:pPr>
        <w:overflowPunct w:val="0"/>
        <w:spacing w:line="244" w:lineRule="auto"/>
        <w:ind w:left="19" w:right="1877"/>
        <w:rPr>
          <w:color w:val="232D26"/>
          <w:sz w:val="32"/>
          <w:szCs w:val="32"/>
        </w:rPr>
      </w:pPr>
      <w:r w:rsidRPr="001A06ED">
        <w:rPr>
          <w:color w:val="232D26"/>
          <w:sz w:val="32"/>
          <w:szCs w:val="32"/>
        </w:rPr>
        <w:t xml:space="preserve">          Non-Elderly/non-disabled/family household: </w:t>
      </w:r>
      <w:r w:rsidRPr="008A7D3E">
        <w:rPr>
          <w:b/>
          <w:bCs/>
          <w:color w:val="232D26"/>
          <w:sz w:val="32"/>
          <w:szCs w:val="32"/>
          <w:highlight w:val="yellow"/>
        </w:rPr>
        <w:t>$700</w:t>
      </w:r>
    </w:p>
    <w:p w14:paraId="3F735DB7" w14:textId="77777777" w:rsidR="001A06ED" w:rsidRPr="001A06ED" w:rsidRDefault="001A06ED" w:rsidP="001A06ED">
      <w:pPr>
        <w:overflowPunct w:val="0"/>
        <w:spacing w:before="8"/>
        <w:ind w:left="28"/>
        <w:rPr>
          <w:color w:val="232D26"/>
          <w:sz w:val="32"/>
          <w:szCs w:val="32"/>
        </w:rPr>
      </w:pPr>
      <w:r w:rsidRPr="001A06ED">
        <w:rPr>
          <w:color w:val="232D26"/>
          <w:sz w:val="32"/>
          <w:szCs w:val="32"/>
        </w:rPr>
        <w:t xml:space="preserve">          Elderly or disabled household: </w:t>
      </w:r>
      <w:r w:rsidRPr="008A7D3E">
        <w:rPr>
          <w:b/>
          <w:bCs/>
          <w:color w:val="232D26"/>
          <w:sz w:val="32"/>
          <w:szCs w:val="32"/>
          <w:highlight w:val="yellow"/>
        </w:rPr>
        <w:t>$500</w:t>
      </w:r>
    </w:p>
    <w:p w14:paraId="47DF03A1" w14:textId="77777777" w:rsidR="001A06ED" w:rsidRPr="001A06ED" w:rsidRDefault="001A06ED" w:rsidP="001A06ED">
      <w:pPr>
        <w:overflowPunct w:val="0"/>
        <w:spacing w:before="8"/>
        <w:ind w:left="23"/>
        <w:rPr>
          <w:color w:val="232D26"/>
          <w:sz w:val="32"/>
          <w:szCs w:val="32"/>
        </w:rPr>
      </w:pPr>
    </w:p>
    <w:p w14:paraId="519B22A3" w14:textId="4A936BE3" w:rsidR="001A06ED" w:rsidRPr="001A06ED" w:rsidRDefault="001A06ED" w:rsidP="001A06ED">
      <w:pPr>
        <w:overflowPunct w:val="0"/>
        <w:spacing w:before="8"/>
        <w:ind w:left="23"/>
        <w:rPr>
          <w:color w:val="232D26"/>
          <w:sz w:val="32"/>
          <w:szCs w:val="32"/>
        </w:rPr>
      </w:pPr>
      <w:r w:rsidRPr="001A06ED">
        <w:rPr>
          <w:color w:val="232D26"/>
          <w:sz w:val="32"/>
          <w:szCs w:val="32"/>
        </w:rPr>
        <w:t>Deposits may</w:t>
      </w:r>
      <w:r w:rsidRPr="001A06ED">
        <w:rPr>
          <w:color w:val="232D26"/>
          <w:spacing w:val="-2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be</w:t>
      </w:r>
      <w:r w:rsidRPr="001A06ED">
        <w:rPr>
          <w:color w:val="232D26"/>
          <w:spacing w:val="-4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split into</w:t>
      </w:r>
      <w:r w:rsidRPr="001A06ED">
        <w:rPr>
          <w:color w:val="232D26"/>
          <w:spacing w:val="-4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two</w:t>
      </w:r>
      <w:r w:rsidRPr="001A06ED">
        <w:rPr>
          <w:color w:val="232D26"/>
          <w:spacing w:val="-2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(2) payments.</w:t>
      </w:r>
      <w:r w:rsidRPr="001A06ED">
        <w:rPr>
          <w:color w:val="232D26"/>
          <w:spacing w:val="40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First</w:t>
      </w:r>
      <w:r w:rsidRPr="001A06ED">
        <w:rPr>
          <w:color w:val="232D26"/>
          <w:spacing w:val="-1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payment is due</w:t>
      </w:r>
      <w:r w:rsidRPr="001A06ED">
        <w:rPr>
          <w:color w:val="232D26"/>
          <w:spacing w:val="-2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at</w:t>
      </w:r>
      <w:r w:rsidRPr="001A06ED">
        <w:rPr>
          <w:color w:val="232D26"/>
          <w:spacing w:val="-3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lease signing, second</w:t>
      </w:r>
      <w:r w:rsidRPr="001A06ED">
        <w:rPr>
          <w:color w:val="232D26"/>
          <w:spacing w:val="-1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payment is due</w:t>
      </w:r>
      <w:r w:rsidRPr="001A06ED">
        <w:rPr>
          <w:color w:val="232D26"/>
          <w:spacing w:val="-2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with next rent payment.</w:t>
      </w:r>
    </w:p>
    <w:p w14:paraId="478C9750" w14:textId="77777777" w:rsidR="001A06ED" w:rsidRPr="001A06ED" w:rsidRDefault="001A06ED" w:rsidP="001A06ED">
      <w:pPr>
        <w:overflowPunct w:val="0"/>
        <w:spacing w:before="239"/>
        <w:rPr>
          <w:b/>
          <w:bCs/>
          <w:color w:val="232D26"/>
          <w:sz w:val="32"/>
          <w:szCs w:val="32"/>
        </w:rPr>
      </w:pPr>
      <w:r w:rsidRPr="001A06ED">
        <w:rPr>
          <w:b/>
          <w:bCs/>
          <w:color w:val="232D26"/>
          <w:sz w:val="32"/>
          <w:szCs w:val="32"/>
        </w:rPr>
        <w:t>NOTE ABOUT THE CALCULATION METHODS USED FOR YOUR RENT PAYMENT:</w:t>
      </w:r>
    </w:p>
    <w:p w14:paraId="7795B891" w14:textId="77777777" w:rsidR="001A06ED" w:rsidRPr="001A06ED" w:rsidRDefault="001A06ED" w:rsidP="001A06ED">
      <w:pPr>
        <w:overflowPunct w:val="0"/>
        <w:spacing w:before="226"/>
        <w:ind w:left="9"/>
        <w:rPr>
          <w:color w:val="232D26"/>
          <w:sz w:val="32"/>
          <w:szCs w:val="32"/>
        </w:rPr>
      </w:pPr>
      <w:r w:rsidRPr="001A06ED">
        <w:rPr>
          <w:color w:val="232D26"/>
          <w:sz w:val="32"/>
          <w:szCs w:val="32"/>
        </w:rPr>
        <w:t>Tenants are given a choice between Flat Rent and</w:t>
      </w:r>
      <w:r w:rsidRPr="001A06ED">
        <w:rPr>
          <w:color w:val="232D26"/>
          <w:spacing w:val="-2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Income-Based Rent (30% of</w:t>
      </w:r>
      <w:r w:rsidRPr="001A06ED">
        <w:rPr>
          <w:color w:val="232D26"/>
          <w:spacing w:val="34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income) during their annual re</w:t>
      </w:r>
      <w:r w:rsidRPr="001A06ED">
        <w:rPr>
          <w:color w:val="232D26"/>
          <w:sz w:val="32"/>
          <w:szCs w:val="32"/>
        </w:rPr>
        <w:softHyphen/>
        <w:t>certification process.</w:t>
      </w:r>
    </w:p>
    <w:p w14:paraId="45D69114" w14:textId="77777777" w:rsidR="001A06ED" w:rsidRPr="001A06ED" w:rsidRDefault="001A06ED" w:rsidP="001A06ED">
      <w:pPr>
        <w:overflowPunct w:val="0"/>
        <w:spacing w:before="10"/>
        <w:rPr>
          <w:sz w:val="32"/>
          <w:szCs w:val="32"/>
        </w:rPr>
      </w:pPr>
    </w:p>
    <w:p w14:paraId="53889697" w14:textId="77777777" w:rsidR="001A06ED" w:rsidRPr="001A06ED" w:rsidRDefault="001A06ED" w:rsidP="001A06ED">
      <w:pPr>
        <w:overflowPunct w:val="0"/>
        <w:spacing w:line="230" w:lineRule="auto"/>
        <w:ind w:left="6" w:right="157" w:firstLine="10"/>
        <w:jc w:val="both"/>
        <w:rPr>
          <w:color w:val="232D26"/>
          <w:spacing w:val="-2"/>
          <w:sz w:val="32"/>
          <w:szCs w:val="32"/>
        </w:rPr>
      </w:pPr>
      <w:r w:rsidRPr="001A06ED">
        <w:rPr>
          <w:color w:val="232D26"/>
          <w:spacing w:val="-2"/>
          <w:sz w:val="32"/>
          <w:szCs w:val="32"/>
        </w:rPr>
        <w:t>Flat</w:t>
      </w:r>
      <w:r w:rsidRPr="001A06ED">
        <w:rPr>
          <w:color w:val="232D26"/>
          <w:spacing w:val="-14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Rent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may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be</w:t>
      </w:r>
      <w:r w:rsidRPr="001A06ED">
        <w:rPr>
          <w:color w:val="232D26"/>
          <w:spacing w:val="-12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beneficial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for</w:t>
      </w:r>
      <w:r w:rsidRPr="001A06ED">
        <w:rPr>
          <w:color w:val="232D26"/>
          <w:spacing w:val="-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households</w:t>
      </w:r>
      <w:r w:rsidRPr="001A06ED">
        <w:rPr>
          <w:color w:val="232D26"/>
          <w:spacing w:val="-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with</w:t>
      </w:r>
      <w:r w:rsidRPr="001A06ED">
        <w:rPr>
          <w:color w:val="232D26"/>
          <w:spacing w:val="-12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higher</w:t>
      </w:r>
      <w:r w:rsidRPr="001A06ED">
        <w:rPr>
          <w:color w:val="232D26"/>
          <w:spacing w:val="-5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annual</w:t>
      </w:r>
      <w:r w:rsidRPr="001A06ED">
        <w:rPr>
          <w:color w:val="232D26"/>
          <w:spacing w:val="-9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incomes.</w:t>
      </w:r>
      <w:r w:rsidRPr="001A06ED">
        <w:rPr>
          <w:color w:val="232D26"/>
          <w:spacing w:val="34"/>
          <w:sz w:val="32"/>
          <w:szCs w:val="32"/>
        </w:rPr>
        <w:t xml:space="preserve"> </w:t>
      </w:r>
      <w:proofErr w:type="gramStart"/>
      <w:r w:rsidRPr="001A06ED">
        <w:rPr>
          <w:color w:val="232D26"/>
          <w:spacing w:val="-2"/>
          <w:sz w:val="32"/>
          <w:szCs w:val="32"/>
        </w:rPr>
        <w:t>It</w:t>
      </w:r>
      <w:proofErr w:type="gramEnd"/>
      <w:r w:rsidRPr="001A06ED">
        <w:rPr>
          <w:color w:val="232D26"/>
          <w:spacing w:val="-9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"caps"</w:t>
      </w:r>
      <w:r w:rsidRPr="001A06ED">
        <w:rPr>
          <w:color w:val="232D26"/>
          <w:spacing w:val="-8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the</w:t>
      </w:r>
      <w:r w:rsidRPr="001A06ED">
        <w:rPr>
          <w:color w:val="232D26"/>
          <w:spacing w:val="-14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amount of</w:t>
      </w:r>
      <w:r w:rsidRPr="001A06ED">
        <w:rPr>
          <w:color w:val="232D26"/>
          <w:spacing w:val="-12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rent</w:t>
      </w:r>
      <w:r w:rsidRPr="001A06ED">
        <w:rPr>
          <w:color w:val="232D26"/>
          <w:spacing w:val="-14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charged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to</w:t>
      </w:r>
      <w:r w:rsidRPr="001A06ED">
        <w:rPr>
          <w:color w:val="232D26"/>
          <w:spacing w:val="-9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80% of</w:t>
      </w:r>
      <w:r w:rsidRPr="001A06ED">
        <w:rPr>
          <w:color w:val="232D26"/>
          <w:spacing w:val="18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the</w:t>
      </w:r>
      <w:r w:rsidRPr="001A06ED">
        <w:rPr>
          <w:color w:val="232D26"/>
          <w:spacing w:val="-14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area's</w:t>
      </w:r>
      <w:r w:rsidRPr="001A06ED">
        <w:rPr>
          <w:color w:val="232D26"/>
          <w:spacing w:val="-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Fair</w:t>
      </w:r>
      <w:r w:rsidRPr="001A06ED">
        <w:rPr>
          <w:color w:val="232D26"/>
          <w:spacing w:val="-12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Market</w:t>
      </w:r>
      <w:r w:rsidRPr="001A06ED">
        <w:rPr>
          <w:color w:val="232D26"/>
          <w:spacing w:val="-8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Rent</w:t>
      </w:r>
      <w:r w:rsidRPr="001A06ED">
        <w:rPr>
          <w:color w:val="232D26"/>
          <w:spacing w:val="-8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(FMR).</w:t>
      </w:r>
      <w:r w:rsidRPr="001A06ED">
        <w:rPr>
          <w:color w:val="232D26"/>
          <w:spacing w:val="80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Flat</w:t>
      </w:r>
      <w:r w:rsidRPr="001A06ED">
        <w:rPr>
          <w:color w:val="232D26"/>
          <w:spacing w:val="-6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Rent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only</w:t>
      </w:r>
      <w:r w:rsidRPr="001A06ED">
        <w:rPr>
          <w:color w:val="232D26"/>
          <w:spacing w:val="-5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requires</w:t>
      </w:r>
      <w:r w:rsidRPr="001A06ED">
        <w:rPr>
          <w:color w:val="232D26"/>
          <w:spacing w:val="-5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tenants</w:t>
      </w:r>
      <w:r w:rsidRPr="001A06ED">
        <w:rPr>
          <w:color w:val="232D26"/>
          <w:spacing w:val="-6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to verify</w:t>
      </w:r>
      <w:r w:rsidRPr="001A06ED">
        <w:rPr>
          <w:color w:val="232D26"/>
          <w:spacing w:val="-4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their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household income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and</w:t>
      </w:r>
      <w:r w:rsidRPr="001A06ED">
        <w:rPr>
          <w:color w:val="232D26"/>
          <w:spacing w:val="-8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assets</w:t>
      </w:r>
      <w:r w:rsidRPr="001A06ED">
        <w:rPr>
          <w:color w:val="232D26"/>
          <w:spacing w:val="-5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every 3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years,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though</w:t>
      </w:r>
      <w:r w:rsidRPr="001A06ED">
        <w:rPr>
          <w:color w:val="232D26"/>
          <w:spacing w:val="-6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household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composition must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still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be</w:t>
      </w:r>
      <w:r w:rsidRPr="001A06ED">
        <w:rPr>
          <w:color w:val="232D26"/>
          <w:spacing w:val="-11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>verified</w:t>
      </w:r>
      <w:r w:rsidRPr="001A06ED">
        <w:rPr>
          <w:color w:val="232D26"/>
          <w:spacing w:val="-11"/>
          <w:sz w:val="32"/>
          <w:szCs w:val="32"/>
        </w:rPr>
        <w:t xml:space="preserve"> </w:t>
      </w:r>
      <w:r w:rsidRPr="001A06ED">
        <w:rPr>
          <w:color w:val="232D26"/>
          <w:spacing w:val="-2"/>
          <w:sz w:val="32"/>
          <w:szCs w:val="32"/>
        </w:rPr>
        <w:t xml:space="preserve">annually. </w:t>
      </w:r>
    </w:p>
    <w:p w14:paraId="3A05EF08" w14:textId="77777777" w:rsidR="001A06ED" w:rsidRPr="001A06ED" w:rsidRDefault="001A06ED" w:rsidP="001A06ED">
      <w:pPr>
        <w:overflowPunct w:val="0"/>
        <w:spacing w:before="2"/>
        <w:rPr>
          <w:sz w:val="32"/>
          <w:szCs w:val="32"/>
        </w:rPr>
      </w:pPr>
    </w:p>
    <w:p w14:paraId="10AFC706" w14:textId="77777777" w:rsidR="001A06ED" w:rsidRPr="001A06ED" w:rsidRDefault="001A06ED" w:rsidP="001A06ED">
      <w:pPr>
        <w:overflowPunct w:val="0"/>
        <w:ind w:left="93" w:right="461" w:hanging="55"/>
        <w:rPr>
          <w:color w:val="232D26"/>
          <w:sz w:val="32"/>
          <w:szCs w:val="32"/>
        </w:rPr>
      </w:pPr>
      <w:r w:rsidRPr="001A06ED">
        <w:rPr>
          <w:color w:val="232D26"/>
          <w:sz w:val="32"/>
          <w:szCs w:val="32"/>
        </w:rPr>
        <w:t>In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contrast,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Income-Based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Rent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may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be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beneficial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for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households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with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lower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annual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incomes.</w:t>
      </w:r>
      <w:r w:rsidRPr="001A06ED">
        <w:rPr>
          <w:color w:val="232D26"/>
          <w:spacing w:val="9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Income-Based</w:t>
      </w:r>
      <w:r w:rsidRPr="001A06ED">
        <w:rPr>
          <w:color w:val="232D26"/>
          <w:spacing w:val="-15"/>
          <w:sz w:val="32"/>
          <w:szCs w:val="32"/>
        </w:rPr>
        <w:t xml:space="preserve"> R</w:t>
      </w:r>
      <w:r w:rsidRPr="001A06ED">
        <w:rPr>
          <w:color w:val="232D26"/>
          <w:sz w:val="32"/>
          <w:szCs w:val="32"/>
        </w:rPr>
        <w:t>ent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requires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tenants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to</w:t>
      </w:r>
      <w:r w:rsidRPr="001A06ED">
        <w:rPr>
          <w:color w:val="232D26"/>
          <w:spacing w:val="-14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verify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their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household</w:t>
      </w:r>
      <w:r w:rsidRPr="001A06ED">
        <w:rPr>
          <w:color w:val="232D26"/>
          <w:spacing w:val="-8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income,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assets</w:t>
      </w:r>
      <w:r w:rsidRPr="001A06ED">
        <w:rPr>
          <w:color w:val="232D26"/>
          <w:spacing w:val="-8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and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household</w:t>
      </w:r>
      <w:r w:rsidRPr="001A06ED">
        <w:rPr>
          <w:color w:val="232D26"/>
          <w:spacing w:val="-12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composition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annually.</w:t>
      </w:r>
    </w:p>
    <w:p w14:paraId="4272DEBC" w14:textId="77777777" w:rsidR="001A06ED" w:rsidRPr="001A06ED" w:rsidRDefault="001A06ED" w:rsidP="001A06ED">
      <w:pPr>
        <w:overflowPunct w:val="0"/>
        <w:spacing w:before="2"/>
        <w:rPr>
          <w:sz w:val="32"/>
          <w:szCs w:val="32"/>
        </w:rPr>
      </w:pPr>
    </w:p>
    <w:p w14:paraId="4BD7BCEB" w14:textId="77777777" w:rsidR="001A06ED" w:rsidRPr="001A06ED" w:rsidRDefault="001A06ED" w:rsidP="001A06ED">
      <w:pPr>
        <w:overflowPunct w:val="0"/>
        <w:spacing w:before="1"/>
        <w:ind w:left="33" w:right="103" w:hanging="22"/>
        <w:rPr>
          <w:color w:val="232D26"/>
          <w:sz w:val="32"/>
          <w:szCs w:val="32"/>
        </w:rPr>
      </w:pPr>
      <w:r w:rsidRPr="001A06ED">
        <w:rPr>
          <w:color w:val="232D26"/>
          <w:sz w:val="32"/>
          <w:szCs w:val="32"/>
        </w:rPr>
        <w:t>Whatever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rent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calculation</w:t>
      </w:r>
      <w:r w:rsidRPr="001A06ED">
        <w:rPr>
          <w:color w:val="232D26"/>
          <w:spacing w:val="-13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method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chosen,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tenant's</w:t>
      </w:r>
      <w:r w:rsidRPr="001A06ED">
        <w:rPr>
          <w:color w:val="232D26"/>
          <w:spacing w:val="-9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monthly</w:t>
      </w:r>
      <w:r w:rsidRPr="001A06ED">
        <w:rPr>
          <w:color w:val="232D26"/>
          <w:spacing w:val="-7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rent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charges</w:t>
      </w:r>
      <w:r w:rsidRPr="001A06ED">
        <w:rPr>
          <w:color w:val="232D26"/>
          <w:spacing w:val="-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will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never</w:t>
      </w:r>
      <w:r w:rsidRPr="001A06ED">
        <w:rPr>
          <w:color w:val="232D26"/>
          <w:spacing w:val="-15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exceed</w:t>
      </w:r>
      <w:r w:rsidRPr="001A06ED">
        <w:rPr>
          <w:color w:val="232D26"/>
          <w:spacing w:val="-10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30%</w:t>
      </w:r>
      <w:r w:rsidRPr="001A06ED">
        <w:rPr>
          <w:color w:val="232D26"/>
          <w:spacing w:val="-16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of</w:t>
      </w:r>
      <w:r w:rsidRPr="001A06ED">
        <w:rPr>
          <w:color w:val="232D26"/>
          <w:spacing w:val="9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their</w:t>
      </w:r>
      <w:r w:rsidRPr="001A06ED">
        <w:rPr>
          <w:color w:val="232D26"/>
          <w:spacing w:val="-11"/>
          <w:sz w:val="32"/>
          <w:szCs w:val="32"/>
        </w:rPr>
        <w:t xml:space="preserve"> </w:t>
      </w:r>
      <w:r w:rsidRPr="001A06ED">
        <w:rPr>
          <w:color w:val="232D26"/>
          <w:sz w:val="32"/>
          <w:szCs w:val="32"/>
        </w:rPr>
        <w:t>annual</w:t>
      </w:r>
      <w:r w:rsidRPr="001A06ED">
        <w:rPr>
          <w:color w:val="232D26"/>
          <w:spacing w:val="-14"/>
          <w:sz w:val="32"/>
          <w:szCs w:val="32"/>
        </w:rPr>
        <w:t xml:space="preserve"> i</w:t>
      </w:r>
      <w:r w:rsidRPr="001A06ED">
        <w:rPr>
          <w:color w:val="232D26"/>
          <w:sz w:val="32"/>
          <w:szCs w:val="32"/>
        </w:rPr>
        <w:t>ncome.</w:t>
      </w:r>
    </w:p>
    <w:p w14:paraId="2E776F6B" w14:textId="77777777" w:rsidR="001A06ED" w:rsidRPr="001A06ED" w:rsidRDefault="001A06ED" w:rsidP="001A06ED">
      <w:pPr>
        <w:rPr>
          <w:color w:val="009999"/>
          <w:sz w:val="32"/>
          <w:szCs w:val="32"/>
          <w14:ligatures w14:val="standardContextual"/>
        </w:rPr>
      </w:pPr>
    </w:p>
    <w:p w14:paraId="57888707" w14:textId="40775127" w:rsidR="00EF2A02" w:rsidRPr="001A06ED" w:rsidRDefault="00EF2A02" w:rsidP="0087600B">
      <w:pPr>
        <w:pStyle w:val="BodyText"/>
        <w:spacing w:before="9"/>
        <w:rPr>
          <w:rFonts w:ascii="Times New Roman"/>
          <w:sz w:val="32"/>
          <w:szCs w:val="32"/>
        </w:rPr>
      </w:pPr>
    </w:p>
    <w:p w14:paraId="2BB0EE3D" w14:textId="77777777" w:rsidR="00EF2A02" w:rsidRDefault="00EF2A02" w:rsidP="0030754A">
      <w:pPr>
        <w:pStyle w:val="BodyText"/>
        <w:spacing w:before="9"/>
        <w:rPr>
          <w:rFonts w:ascii="Times New Roman"/>
          <w:sz w:val="24"/>
          <w:szCs w:val="24"/>
        </w:rPr>
      </w:pPr>
    </w:p>
    <w:sectPr w:rsidR="00EF2A02" w:rsidSect="00BF75B8">
      <w:headerReference w:type="default" r:id="rId8"/>
      <w:footerReference w:type="default" r:id="rId9"/>
      <w:type w:val="continuous"/>
      <w:pgSz w:w="12240" w:h="15840"/>
      <w:pgMar w:top="60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EAED" w14:textId="77777777" w:rsidR="005967C4" w:rsidRDefault="005967C4" w:rsidP="00BF75B8">
      <w:r>
        <w:separator/>
      </w:r>
    </w:p>
  </w:endnote>
  <w:endnote w:type="continuationSeparator" w:id="0">
    <w:p w14:paraId="2414D6AB" w14:textId="77777777" w:rsidR="005967C4" w:rsidRDefault="005967C4" w:rsidP="00BF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2371" w14:textId="77777777" w:rsidR="00BF75B8" w:rsidRDefault="00BF75B8">
    <w:pPr>
      <w:pStyle w:val="Footer"/>
    </w:pPr>
    <w:r>
      <w:rPr>
        <w:noProof/>
      </w:rPr>
      <w:drawing>
        <wp:inline distT="0" distB="0" distL="0" distR="0" wp14:anchorId="36E035D7" wp14:editId="527E3E1D">
          <wp:extent cx="7162800" cy="67881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4EF3" w14:textId="77777777" w:rsidR="005967C4" w:rsidRDefault="005967C4" w:rsidP="00BF75B8">
      <w:r>
        <w:separator/>
      </w:r>
    </w:p>
  </w:footnote>
  <w:footnote w:type="continuationSeparator" w:id="0">
    <w:p w14:paraId="5AAF2EDB" w14:textId="77777777" w:rsidR="005967C4" w:rsidRDefault="005967C4" w:rsidP="00BF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6ABC" w14:textId="77777777" w:rsidR="00BF75B8" w:rsidRDefault="00BF75B8" w:rsidP="00BF75B8">
    <w:pPr>
      <w:pStyle w:val="Header"/>
      <w:jc w:val="center"/>
    </w:pPr>
    <w:r>
      <w:rPr>
        <w:noProof/>
      </w:rPr>
      <w:drawing>
        <wp:inline distT="0" distB="0" distL="0" distR="0" wp14:anchorId="108798F1" wp14:editId="3D02FE3D">
          <wp:extent cx="1522730" cy="93092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AC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727" cy="974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3620"/>
    <w:multiLevelType w:val="hybridMultilevel"/>
    <w:tmpl w:val="991E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AB"/>
    <w:rsid w:val="00014B6B"/>
    <w:rsid w:val="000A78E3"/>
    <w:rsid w:val="000B69AD"/>
    <w:rsid w:val="001425B1"/>
    <w:rsid w:val="00165D1F"/>
    <w:rsid w:val="00167B8B"/>
    <w:rsid w:val="00197BC8"/>
    <w:rsid w:val="001A06ED"/>
    <w:rsid w:val="001B737F"/>
    <w:rsid w:val="001C6C3A"/>
    <w:rsid w:val="001C77AB"/>
    <w:rsid w:val="001D6D08"/>
    <w:rsid w:val="00216378"/>
    <w:rsid w:val="00306C05"/>
    <w:rsid w:val="0030754A"/>
    <w:rsid w:val="003236C2"/>
    <w:rsid w:val="0034222F"/>
    <w:rsid w:val="00343325"/>
    <w:rsid w:val="00366AB0"/>
    <w:rsid w:val="003B7AED"/>
    <w:rsid w:val="003E6642"/>
    <w:rsid w:val="003F300E"/>
    <w:rsid w:val="00416241"/>
    <w:rsid w:val="004162E1"/>
    <w:rsid w:val="00424122"/>
    <w:rsid w:val="004D004D"/>
    <w:rsid w:val="00525968"/>
    <w:rsid w:val="00566F76"/>
    <w:rsid w:val="005967C4"/>
    <w:rsid w:val="00597738"/>
    <w:rsid w:val="005B2791"/>
    <w:rsid w:val="005C49E2"/>
    <w:rsid w:val="005D642E"/>
    <w:rsid w:val="00637ABB"/>
    <w:rsid w:val="006A5219"/>
    <w:rsid w:val="006B5EFA"/>
    <w:rsid w:val="006F1515"/>
    <w:rsid w:val="006F3307"/>
    <w:rsid w:val="00703E52"/>
    <w:rsid w:val="007A163E"/>
    <w:rsid w:val="007B683F"/>
    <w:rsid w:val="007C6D78"/>
    <w:rsid w:val="007C76F9"/>
    <w:rsid w:val="007D0BA3"/>
    <w:rsid w:val="007F3187"/>
    <w:rsid w:val="007F5A6C"/>
    <w:rsid w:val="00834CCD"/>
    <w:rsid w:val="0087600B"/>
    <w:rsid w:val="0088231C"/>
    <w:rsid w:val="008A7D3E"/>
    <w:rsid w:val="008E2DB4"/>
    <w:rsid w:val="009403C8"/>
    <w:rsid w:val="00973070"/>
    <w:rsid w:val="00983102"/>
    <w:rsid w:val="009E08BA"/>
    <w:rsid w:val="00A17CEB"/>
    <w:rsid w:val="00A52BF2"/>
    <w:rsid w:val="00A724BE"/>
    <w:rsid w:val="00AB1A09"/>
    <w:rsid w:val="00AB50FF"/>
    <w:rsid w:val="00AF1BCF"/>
    <w:rsid w:val="00B070EF"/>
    <w:rsid w:val="00B274BE"/>
    <w:rsid w:val="00B34FA4"/>
    <w:rsid w:val="00B51921"/>
    <w:rsid w:val="00BF75B8"/>
    <w:rsid w:val="00C17D5C"/>
    <w:rsid w:val="00C31647"/>
    <w:rsid w:val="00C46818"/>
    <w:rsid w:val="00C532D8"/>
    <w:rsid w:val="00C62B90"/>
    <w:rsid w:val="00C646AB"/>
    <w:rsid w:val="00C87C0E"/>
    <w:rsid w:val="00CA0DCF"/>
    <w:rsid w:val="00CC0EDA"/>
    <w:rsid w:val="00CE3B37"/>
    <w:rsid w:val="00D3356B"/>
    <w:rsid w:val="00D33CC0"/>
    <w:rsid w:val="00D41003"/>
    <w:rsid w:val="00D731C3"/>
    <w:rsid w:val="00DB68FA"/>
    <w:rsid w:val="00E274FD"/>
    <w:rsid w:val="00E70B41"/>
    <w:rsid w:val="00E75339"/>
    <w:rsid w:val="00E9707B"/>
    <w:rsid w:val="00EA66FE"/>
    <w:rsid w:val="00EC73CA"/>
    <w:rsid w:val="00EF2A02"/>
    <w:rsid w:val="00F14BE8"/>
    <w:rsid w:val="00F84AC4"/>
    <w:rsid w:val="00F962C2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57FD7"/>
  <w15:docId w15:val="{7873F39D-C19A-4777-A246-21C1CE0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51" w:lineRule="exact"/>
      <w:ind w:left="2494" w:right="4090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5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7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5B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B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F2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EA2A-10A7-4673-8D7B-5B288458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HAC_LH.cdr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HAC_LH.cdr</dc:title>
  <dc:creator>Allura Eckert</dc:creator>
  <cp:lastModifiedBy>Chris Bradburn</cp:lastModifiedBy>
  <cp:revision>3</cp:revision>
  <cp:lastPrinted>2021-05-27T19:34:00Z</cp:lastPrinted>
  <dcterms:created xsi:type="dcterms:W3CDTF">2025-01-23T17:05:00Z</dcterms:created>
  <dcterms:modified xsi:type="dcterms:W3CDTF">2025-01-23T20:40:00Z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2020-03-24T00:00:00Z</vt:filetime>
  </property>
  <property fmtid="{D5CDD505-2E9C-101B-9397-08002B2CF9AE}" pid="5" name="GrammarlyDocumentId">
    <vt:lpwstr>eb304f502e8d11a9d66b4279f93cf6e4e6504a5653540cb0de7f1c52bfe9a691</vt:lpwstr>
  </property>
</Properties>
</file>